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0E80" w14:textId="77777777" w:rsidR="00EC2F56" w:rsidRDefault="00EC2F56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16F2086" w14:textId="77777777" w:rsidR="00EC2F56" w:rsidRDefault="00EC2F56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D557256" w14:textId="16D60696" w:rsidR="00917C98" w:rsidRPr="00A421D2" w:rsidRDefault="004D715E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 xml:space="preserve">Zarządzenie </w:t>
      </w:r>
      <w:r w:rsidR="00917C98" w:rsidRPr="00A421D2">
        <w:rPr>
          <w:rFonts w:ascii="Times New Roman" w:hAnsi="Times New Roman" w:cs="Times New Roman"/>
          <w:b/>
        </w:rPr>
        <w:t xml:space="preserve"> Nr</w:t>
      </w:r>
      <w:r w:rsidR="005F5CFF" w:rsidRPr="00A421D2">
        <w:rPr>
          <w:rFonts w:ascii="Times New Roman" w:hAnsi="Times New Roman" w:cs="Times New Roman"/>
          <w:b/>
        </w:rPr>
        <w:t xml:space="preserve"> </w:t>
      </w:r>
      <w:r w:rsidR="00FF59E2">
        <w:rPr>
          <w:rFonts w:ascii="Times New Roman" w:hAnsi="Times New Roman" w:cs="Times New Roman"/>
          <w:b/>
        </w:rPr>
        <w:t>14/2022</w:t>
      </w:r>
    </w:p>
    <w:p w14:paraId="5E0E2AA2" w14:textId="31334916" w:rsidR="00505AA0" w:rsidRPr="00A421D2" w:rsidRDefault="00505AA0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>Burmistrza Miasta i</w:t>
      </w:r>
      <w:r w:rsidR="00A77C13" w:rsidRPr="00A421D2">
        <w:rPr>
          <w:rFonts w:ascii="Times New Roman" w:hAnsi="Times New Roman" w:cs="Times New Roman"/>
          <w:b/>
        </w:rPr>
        <w:t xml:space="preserve"> G</w:t>
      </w:r>
      <w:r w:rsidRPr="00A421D2">
        <w:rPr>
          <w:rFonts w:ascii="Times New Roman" w:hAnsi="Times New Roman" w:cs="Times New Roman"/>
          <w:b/>
        </w:rPr>
        <w:t>miny Nowa Słupia</w:t>
      </w:r>
    </w:p>
    <w:p w14:paraId="721012FF" w14:textId="58302648" w:rsidR="00917C98" w:rsidRPr="00A421D2" w:rsidRDefault="00917C98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 xml:space="preserve">z dnia </w:t>
      </w:r>
      <w:r w:rsidR="00505AA0" w:rsidRPr="00A421D2">
        <w:rPr>
          <w:rFonts w:ascii="Times New Roman" w:hAnsi="Times New Roman" w:cs="Times New Roman"/>
          <w:b/>
        </w:rPr>
        <w:t xml:space="preserve"> </w:t>
      </w:r>
      <w:r w:rsidR="00FF59E2">
        <w:rPr>
          <w:rFonts w:ascii="Times New Roman" w:hAnsi="Times New Roman" w:cs="Times New Roman"/>
          <w:b/>
        </w:rPr>
        <w:t>31.01.</w:t>
      </w:r>
      <w:r w:rsidRPr="00A421D2">
        <w:rPr>
          <w:rFonts w:ascii="Times New Roman" w:hAnsi="Times New Roman" w:cs="Times New Roman"/>
          <w:b/>
        </w:rPr>
        <w:t>202</w:t>
      </w:r>
      <w:r w:rsidR="00336299">
        <w:rPr>
          <w:rFonts w:ascii="Times New Roman" w:hAnsi="Times New Roman" w:cs="Times New Roman"/>
          <w:b/>
        </w:rPr>
        <w:t>2</w:t>
      </w:r>
      <w:r w:rsidRPr="00A421D2">
        <w:rPr>
          <w:rFonts w:ascii="Times New Roman" w:hAnsi="Times New Roman" w:cs="Times New Roman"/>
          <w:b/>
        </w:rPr>
        <w:t xml:space="preserve"> roku</w:t>
      </w:r>
    </w:p>
    <w:p w14:paraId="6DB5C4F5" w14:textId="77777777" w:rsidR="00917C98" w:rsidRPr="00A421D2" w:rsidRDefault="00917C98" w:rsidP="00917C9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D77307C" w14:textId="5467C5CE" w:rsidR="00BA5C51" w:rsidRPr="00A421D2" w:rsidRDefault="00917C98" w:rsidP="00917C9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>w sprawie ustalenia planu dofinansowania form doskonalenia zawodowego nauczycieli oraz ustalenia maksymalnej kwoty dofinansowania opłat w 202</w:t>
      </w:r>
      <w:r w:rsidR="00336299">
        <w:rPr>
          <w:rFonts w:ascii="Times New Roman" w:hAnsi="Times New Roman" w:cs="Times New Roman"/>
          <w:b/>
        </w:rPr>
        <w:t>2</w:t>
      </w:r>
      <w:r w:rsidRPr="00A421D2">
        <w:rPr>
          <w:rFonts w:ascii="Times New Roman" w:hAnsi="Times New Roman" w:cs="Times New Roman"/>
          <w:b/>
        </w:rPr>
        <w:t xml:space="preserve"> roku za kształcenie nauczycieli zatrudnionych </w:t>
      </w:r>
      <w:r w:rsidR="00937A37" w:rsidRPr="00A421D2">
        <w:rPr>
          <w:rFonts w:ascii="Times New Roman" w:hAnsi="Times New Roman" w:cs="Times New Roman"/>
          <w:b/>
        </w:rPr>
        <w:br/>
      </w:r>
      <w:r w:rsidRPr="00A421D2">
        <w:rPr>
          <w:rFonts w:ascii="Times New Roman" w:hAnsi="Times New Roman" w:cs="Times New Roman"/>
          <w:b/>
        </w:rPr>
        <w:t xml:space="preserve">w szkołach, dla których organem prowadzącym jest Gmina </w:t>
      </w:r>
      <w:r w:rsidR="00505AA0" w:rsidRPr="00A421D2">
        <w:rPr>
          <w:rFonts w:ascii="Times New Roman" w:hAnsi="Times New Roman" w:cs="Times New Roman"/>
          <w:b/>
        </w:rPr>
        <w:t>Nowa Słupia</w:t>
      </w:r>
      <w:r w:rsidRPr="00A421D2">
        <w:rPr>
          <w:rFonts w:ascii="Times New Roman" w:hAnsi="Times New Roman" w:cs="Times New Roman"/>
          <w:b/>
        </w:rPr>
        <w:t>.</w:t>
      </w:r>
    </w:p>
    <w:p w14:paraId="108BE6AF" w14:textId="709CFF0E" w:rsidR="00917C98" w:rsidRPr="00A421D2" w:rsidRDefault="00917C98" w:rsidP="00917C9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50D">
        <w:rPr>
          <w:rFonts w:ascii="Times New Roman" w:hAnsi="Times New Roman" w:cs="Times New Roman"/>
          <w:sz w:val="20"/>
          <w:szCs w:val="20"/>
        </w:rPr>
        <w:t xml:space="preserve">Na  podstawie art. </w:t>
      </w:r>
      <w:r w:rsidR="004D715E" w:rsidRPr="00F4250D">
        <w:rPr>
          <w:rFonts w:ascii="Times New Roman" w:hAnsi="Times New Roman" w:cs="Times New Roman"/>
          <w:sz w:val="20"/>
          <w:szCs w:val="20"/>
        </w:rPr>
        <w:t>30</w:t>
      </w:r>
      <w:r w:rsidRPr="00F4250D">
        <w:rPr>
          <w:rFonts w:ascii="Times New Roman" w:hAnsi="Times New Roman" w:cs="Times New Roman"/>
          <w:sz w:val="20"/>
          <w:szCs w:val="20"/>
        </w:rPr>
        <w:t xml:space="preserve"> ust. 2 pkt </w:t>
      </w:r>
      <w:r w:rsidR="004D715E" w:rsidRPr="00F4250D">
        <w:rPr>
          <w:rFonts w:ascii="Times New Roman" w:hAnsi="Times New Roman" w:cs="Times New Roman"/>
          <w:sz w:val="20"/>
          <w:szCs w:val="20"/>
        </w:rPr>
        <w:t>4</w:t>
      </w:r>
      <w:r w:rsidRPr="00F4250D">
        <w:rPr>
          <w:rFonts w:ascii="Times New Roman" w:hAnsi="Times New Roman" w:cs="Times New Roman"/>
          <w:sz w:val="20"/>
          <w:szCs w:val="20"/>
        </w:rPr>
        <w:t xml:space="preserve"> ustawy z dnia 8 marca 1990 r. o samorządzie gminnym (</w:t>
      </w:r>
      <w:r w:rsidR="00CC557C" w:rsidRPr="00F4250D">
        <w:rPr>
          <w:rFonts w:ascii="Times New Roman" w:hAnsi="Times New Roman" w:cs="Times New Roman"/>
          <w:sz w:val="20"/>
          <w:szCs w:val="20"/>
        </w:rPr>
        <w:t>tekst jedn.</w:t>
      </w:r>
      <w:r w:rsidR="00937A37" w:rsidRPr="00F4250D">
        <w:rPr>
          <w:rFonts w:ascii="Times New Roman" w:hAnsi="Times New Roman" w:cs="Times New Roman"/>
          <w:sz w:val="20"/>
          <w:szCs w:val="20"/>
        </w:rPr>
        <w:t xml:space="preserve">: Dz. U. z </w:t>
      </w:r>
      <w:r w:rsidR="009D0C33" w:rsidRPr="00F4250D">
        <w:rPr>
          <w:rFonts w:ascii="Times New Roman" w:hAnsi="Times New Roman" w:cs="Times New Roman"/>
          <w:sz w:val="20"/>
          <w:szCs w:val="20"/>
        </w:rPr>
        <w:t>2021</w:t>
      </w:r>
      <w:r w:rsidR="00937A37" w:rsidRPr="00F4250D">
        <w:rPr>
          <w:rFonts w:ascii="Times New Roman" w:hAnsi="Times New Roman" w:cs="Times New Roman"/>
          <w:sz w:val="20"/>
          <w:szCs w:val="20"/>
        </w:rPr>
        <w:t xml:space="preserve"> </w:t>
      </w:r>
      <w:r w:rsidRPr="00F4250D">
        <w:rPr>
          <w:rFonts w:ascii="Times New Roman" w:hAnsi="Times New Roman" w:cs="Times New Roman"/>
          <w:sz w:val="20"/>
          <w:szCs w:val="20"/>
        </w:rPr>
        <w:t xml:space="preserve">r. poz. </w:t>
      </w:r>
      <w:r w:rsidR="009D0C33" w:rsidRPr="00F4250D">
        <w:rPr>
          <w:rFonts w:ascii="Times New Roman" w:hAnsi="Times New Roman" w:cs="Times New Roman"/>
          <w:sz w:val="20"/>
          <w:szCs w:val="20"/>
        </w:rPr>
        <w:t>1372</w:t>
      </w:r>
      <w:r w:rsidRPr="00F4250D">
        <w:rPr>
          <w:rFonts w:ascii="Times New Roman" w:hAnsi="Times New Roman" w:cs="Times New Roman"/>
          <w:sz w:val="20"/>
          <w:szCs w:val="20"/>
        </w:rPr>
        <w:t xml:space="preserve"> ze zm.</w:t>
      </w:r>
      <w:r w:rsidR="00A75424" w:rsidRPr="00F4250D">
        <w:rPr>
          <w:rFonts w:ascii="Times New Roman" w:hAnsi="Times New Roman" w:cs="Times New Roman"/>
          <w:sz w:val="20"/>
          <w:szCs w:val="20"/>
        </w:rPr>
        <w:t>)</w:t>
      </w:r>
      <w:r w:rsidR="009D0C33" w:rsidRPr="00F4250D">
        <w:rPr>
          <w:rFonts w:ascii="Times New Roman" w:hAnsi="Times New Roman" w:cs="Times New Roman"/>
          <w:sz w:val="20"/>
          <w:szCs w:val="20"/>
        </w:rPr>
        <w:t>,</w:t>
      </w:r>
      <w:r w:rsidRPr="00F4250D">
        <w:rPr>
          <w:rFonts w:ascii="Times New Roman" w:hAnsi="Times New Roman" w:cs="Times New Roman"/>
          <w:sz w:val="20"/>
          <w:szCs w:val="20"/>
        </w:rPr>
        <w:t xml:space="preserve"> </w:t>
      </w:r>
      <w:r w:rsidR="009D0C33" w:rsidRPr="00F4250D">
        <w:rPr>
          <w:rFonts w:ascii="Times New Roman" w:hAnsi="Times New Roman" w:cs="Times New Roman"/>
          <w:sz w:val="20"/>
          <w:szCs w:val="20"/>
        </w:rPr>
        <w:t xml:space="preserve">art. 70a ust. 3 ustawy z dnia 26 stycznia 1982 r. Karta Nauczyciela (t.j. z Dz.U.2021 poz.1762) </w:t>
      </w:r>
      <w:r w:rsidRPr="00F4250D">
        <w:rPr>
          <w:rFonts w:ascii="Times New Roman" w:hAnsi="Times New Roman" w:cs="Times New Roman"/>
          <w:sz w:val="20"/>
          <w:szCs w:val="20"/>
        </w:rPr>
        <w:t xml:space="preserve">oraz </w:t>
      </w:r>
      <w:bookmarkStart w:id="0" w:name="_Hlk93297056"/>
      <w:r w:rsidRPr="00F4250D">
        <w:rPr>
          <w:rFonts w:ascii="Times New Roman" w:hAnsi="Times New Roman" w:cs="Times New Roman"/>
          <w:sz w:val="20"/>
          <w:szCs w:val="20"/>
        </w:rPr>
        <w:t>§ 5</w:t>
      </w:r>
      <w:r w:rsidR="00CC35F6" w:rsidRPr="00F4250D">
        <w:rPr>
          <w:rFonts w:ascii="Times New Roman" w:hAnsi="Times New Roman" w:cs="Times New Roman"/>
          <w:sz w:val="20"/>
          <w:szCs w:val="20"/>
        </w:rPr>
        <w:t xml:space="preserve"> i</w:t>
      </w:r>
      <w:r w:rsidRPr="00F4250D">
        <w:rPr>
          <w:rFonts w:ascii="Times New Roman" w:hAnsi="Times New Roman" w:cs="Times New Roman"/>
          <w:sz w:val="20"/>
          <w:szCs w:val="20"/>
        </w:rPr>
        <w:t xml:space="preserve"> § 6 Rozporządzenia Ministra Edukacji Narodowej z dnia 23 sierpnia 2019 r. w sprawie dofinansowania doskonalenia zawodowego nauczycieli, szczegółowych celów szkolenia branżowego oraz trybu i warunków kierowania nauczycieli na szkolenia branżowe (Dz.U. z 2019 r</w:t>
      </w:r>
      <w:r w:rsidR="009D0C33" w:rsidRPr="00F4250D">
        <w:rPr>
          <w:rFonts w:ascii="Times New Roman" w:hAnsi="Times New Roman" w:cs="Times New Roman"/>
          <w:sz w:val="20"/>
          <w:szCs w:val="20"/>
        </w:rPr>
        <w:t>.</w:t>
      </w:r>
      <w:r w:rsidRPr="00F4250D">
        <w:rPr>
          <w:rFonts w:ascii="Times New Roman" w:hAnsi="Times New Roman" w:cs="Times New Roman"/>
          <w:sz w:val="20"/>
          <w:szCs w:val="20"/>
        </w:rPr>
        <w:t xml:space="preserve"> poz.1653</w:t>
      </w:r>
      <w:bookmarkEnd w:id="0"/>
      <w:r w:rsidRPr="00F4250D">
        <w:rPr>
          <w:rFonts w:ascii="Times New Roman" w:hAnsi="Times New Roman" w:cs="Times New Roman"/>
          <w:sz w:val="20"/>
          <w:szCs w:val="20"/>
        </w:rPr>
        <w:t xml:space="preserve">) </w:t>
      </w:r>
      <w:r w:rsidR="007E4120" w:rsidRPr="00F4250D">
        <w:rPr>
          <w:rFonts w:ascii="Times New Roman" w:hAnsi="Times New Roman" w:cs="Times New Roman"/>
          <w:sz w:val="20"/>
          <w:szCs w:val="20"/>
        </w:rPr>
        <w:t>zarządzam</w:t>
      </w:r>
      <w:r w:rsidRPr="00F4250D">
        <w:rPr>
          <w:rFonts w:ascii="Times New Roman" w:hAnsi="Times New Roman" w:cs="Times New Roman"/>
          <w:sz w:val="20"/>
          <w:szCs w:val="20"/>
        </w:rPr>
        <w:t>, co następuje:</w:t>
      </w:r>
      <w:r w:rsidRPr="00A421D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1D6EC3" w14:textId="1787970E" w:rsidR="00937A37" w:rsidRPr="00A421D2" w:rsidRDefault="00917C98" w:rsidP="00A77C1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  <w:b/>
        </w:rPr>
        <w:t>§ 1.</w:t>
      </w:r>
    </w:p>
    <w:p w14:paraId="1E2F089B" w14:textId="3BA31DB2" w:rsidR="00917C98" w:rsidRPr="00A421D2" w:rsidRDefault="00937A37" w:rsidP="00937A3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  <w:b/>
        </w:rPr>
        <w:t>1.</w:t>
      </w:r>
      <w:r w:rsidRPr="00A421D2">
        <w:rPr>
          <w:rFonts w:ascii="Times New Roman" w:hAnsi="Times New Roman" w:cs="Times New Roman"/>
        </w:rPr>
        <w:t xml:space="preserve"> </w:t>
      </w:r>
      <w:r w:rsidR="004B7503" w:rsidRPr="00A421D2">
        <w:rPr>
          <w:rFonts w:ascii="Times New Roman" w:hAnsi="Times New Roman" w:cs="Times New Roman"/>
        </w:rPr>
        <w:t>Ustala się na 202</w:t>
      </w:r>
      <w:r w:rsidR="00336299">
        <w:rPr>
          <w:rFonts w:ascii="Times New Roman" w:hAnsi="Times New Roman" w:cs="Times New Roman"/>
        </w:rPr>
        <w:t>2</w:t>
      </w:r>
      <w:r w:rsidR="004B7503" w:rsidRPr="00A421D2">
        <w:rPr>
          <w:rFonts w:ascii="Times New Roman" w:hAnsi="Times New Roman" w:cs="Times New Roman"/>
        </w:rPr>
        <w:t xml:space="preserve"> rok plan dofinansowania form doskonalenia zawodowego nauczycieli zatrudnionych w szkołach i placówkach, dla których organem prowadzącym jest Gmina </w:t>
      </w:r>
      <w:r w:rsidR="00505AA0" w:rsidRPr="00A421D2">
        <w:rPr>
          <w:rFonts w:ascii="Times New Roman" w:hAnsi="Times New Roman" w:cs="Times New Roman"/>
        </w:rPr>
        <w:t>Nowa Słupia</w:t>
      </w:r>
      <w:r w:rsidR="004B7503" w:rsidRPr="00A421D2">
        <w:rPr>
          <w:rFonts w:ascii="Times New Roman" w:hAnsi="Times New Roman" w:cs="Times New Roman"/>
        </w:rPr>
        <w:t xml:space="preserve"> oraz specjalności kształcenia, na które dofinansowanie jest przyznawane, stanowiący załącznik do </w:t>
      </w:r>
      <w:r w:rsidR="007E08BA" w:rsidRPr="00A421D2">
        <w:rPr>
          <w:rFonts w:ascii="Times New Roman" w:hAnsi="Times New Roman" w:cs="Times New Roman"/>
        </w:rPr>
        <w:t xml:space="preserve">niniejszego </w:t>
      </w:r>
      <w:r w:rsidR="004B7503" w:rsidRPr="00A421D2">
        <w:rPr>
          <w:rFonts w:ascii="Times New Roman" w:hAnsi="Times New Roman" w:cs="Times New Roman"/>
        </w:rPr>
        <w:t>zarządzenia</w:t>
      </w:r>
      <w:r w:rsidR="00BA5C51" w:rsidRPr="00A421D2">
        <w:rPr>
          <w:rFonts w:ascii="Times New Roman" w:hAnsi="Times New Roman" w:cs="Times New Roman"/>
        </w:rPr>
        <w:t>.</w:t>
      </w:r>
    </w:p>
    <w:p w14:paraId="0D69ED04" w14:textId="7D8E7081" w:rsidR="00937A37" w:rsidRPr="00A421D2" w:rsidRDefault="00937A37" w:rsidP="00917C98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 xml:space="preserve">2. </w:t>
      </w:r>
      <w:r w:rsidRPr="00A421D2">
        <w:rPr>
          <w:rFonts w:ascii="Times New Roman" w:hAnsi="Times New Roman" w:cs="Times New Roman"/>
        </w:rPr>
        <w:t xml:space="preserve">Dofinansowanie może być przyznane również z zakresu i specjalności innych niż wymienione </w:t>
      </w:r>
      <w:r w:rsidRPr="00A421D2">
        <w:rPr>
          <w:rFonts w:ascii="Times New Roman" w:hAnsi="Times New Roman" w:cs="Times New Roman"/>
        </w:rPr>
        <w:br/>
        <w:t>w załączniku do</w:t>
      </w:r>
      <w:r w:rsidRPr="00A421D2">
        <w:rPr>
          <w:rFonts w:ascii="Times New Roman" w:hAnsi="Times New Roman" w:cs="Times New Roman"/>
          <w:color w:val="FF0000"/>
        </w:rPr>
        <w:t xml:space="preserve"> </w:t>
      </w:r>
      <w:r w:rsidR="00A77C13" w:rsidRPr="00A421D2">
        <w:rPr>
          <w:rFonts w:ascii="Times New Roman" w:hAnsi="Times New Roman" w:cs="Times New Roman"/>
        </w:rPr>
        <w:t>zarządzenia</w:t>
      </w:r>
      <w:r w:rsidRPr="00A421D2">
        <w:rPr>
          <w:rFonts w:ascii="Times New Roman" w:hAnsi="Times New Roman" w:cs="Times New Roman"/>
        </w:rPr>
        <w:t xml:space="preserve">, zgodnych z potrzebami szkoły lub wynikających z zaleceń organu nadzoru pedagogicznego, na uzasadniony wniosek nauczyciela lub dyrektora </w:t>
      </w:r>
      <w:r w:rsidR="007E08BA" w:rsidRPr="00A421D2">
        <w:rPr>
          <w:rFonts w:ascii="Times New Roman" w:hAnsi="Times New Roman" w:cs="Times New Roman"/>
        </w:rPr>
        <w:t>szkoły lub placówki dla których organem prowadzącym jest Gmina Nowa Słupia</w:t>
      </w:r>
      <w:r w:rsidR="00127BFD" w:rsidRPr="00A421D2">
        <w:rPr>
          <w:rFonts w:ascii="Times New Roman" w:hAnsi="Times New Roman" w:cs="Times New Roman"/>
        </w:rPr>
        <w:t>.</w:t>
      </w:r>
    </w:p>
    <w:p w14:paraId="33B6699A" w14:textId="47BAA131" w:rsidR="004655E0" w:rsidRPr="00A421D2" w:rsidRDefault="00917C98" w:rsidP="00A77C1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>§ 2.</w:t>
      </w:r>
    </w:p>
    <w:p w14:paraId="77FE06CB" w14:textId="26A5D473" w:rsidR="00917C98" w:rsidRPr="00A421D2" w:rsidRDefault="004B7503" w:rsidP="00917C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</w:rPr>
        <w:t xml:space="preserve">Środki na dofinansowanie zawodowe nauczycieli wyodrębnione w budżecie Gminy </w:t>
      </w:r>
      <w:r w:rsidR="00A77C13" w:rsidRPr="00A421D2">
        <w:rPr>
          <w:rFonts w:ascii="Times New Roman" w:hAnsi="Times New Roman" w:cs="Times New Roman"/>
        </w:rPr>
        <w:t>Nowa Słupia</w:t>
      </w:r>
      <w:r w:rsidRPr="00A421D2">
        <w:rPr>
          <w:rFonts w:ascii="Times New Roman" w:hAnsi="Times New Roman" w:cs="Times New Roman"/>
        </w:rPr>
        <w:t xml:space="preserve"> na rok 202</w:t>
      </w:r>
      <w:r w:rsidR="00336299">
        <w:rPr>
          <w:rFonts w:ascii="Times New Roman" w:hAnsi="Times New Roman" w:cs="Times New Roman"/>
        </w:rPr>
        <w:t>2</w:t>
      </w:r>
      <w:r w:rsidRPr="00A421D2">
        <w:rPr>
          <w:rFonts w:ascii="Times New Roman" w:hAnsi="Times New Roman" w:cs="Times New Roman"/>
        </w:rPr>
        <w:t xml:space="preserve"> wynoszą</w:t>
      </w:r>
      <w:r w:rsidR="00B07A53">
        <w:rPr>
          <w:rFonts w:ascii="Times New Roman" w:hAnsi="Times New Roman" w:cs="Times New Roman"/>
        </w:rPr>
        <w:t xml:space="preserve"> 37.000</w:t>
      </w:r>
      <w:r w:rsidRPr="00A421D2">
        <w:rPr>
          <w:rFonts w:ascii="Times New Roman" w:hAnsi="Times New Roman" w:cs="Times New Roman"/>
        </w:rPr>
        <w:t>,00 zł</w:t>
      </w:r>
      <w:r w:rsidR="00B34583" w:rsidRPr="00A421D2">
        <w:rPr>
          <w:rFonts w:ascii="Times New Roman" w:hAnsi="Times New Roman" w:cs="Times New Roman"/>
        </w:rPr>
        <w:t>.</w:t>
      </w:r>
    </w:p>
    <w:p w14:paraId="2C26443B" w14:textId="5314602D" w:rsidR="00A77C13" w:rsidRPr="00A421D2" w:rsidRDefault="00917C98" w:rsidP="00A77C13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  <w:b/>
        </w:rPr>
        <w:t>§ 3.</w:t>
      </w:r>
    </w:p>
    <w:p w14:paraId="67578F62" w14:textId="5152591A" w:rsidR="00917C98" w:rsidRPr="00B07A53" w:rsidRDefault="00917C98" w:rsidP="00EC2F56">
      <w:pPr>
        <w:pStyle w:val="Nagwek3"/>
        <w:jc w:val="both"/>
        <w:rPr>
          <w:rFonts w:ascii="Times New Roman" w:eastAsia="Times New Roman" w:hAnsi="Times New Roman" w:cs="Times New Roman"/>
          <w:bCs/>
          <w:color w:val="auto"/>
          <w:lang w:eastAsia="pl-PL"/>
        </w:rPr>
      </w:pPr>
      <w:r w:rsidRPr="00B07A53">
        <w:rPr>
          <w:rFonts w:ascii="Times New Roman" w:hAnsi="Times New Roman" w:cs="Times New Roman"/>
          <w:bCs/>
          <w:color w:val="auto"/>
        </w:rPr>
        <w:t xml:space="preserve">1. </w:t>
      </w:r>
      <w:r w:rsidR="00B34583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W porozumieniu z dyrektorami szkół</w:t>
      </w:r>
      <w:r w:rsidR="007E08BA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lub placówek dla których organem prowadzącym jest Gmina Nowa Słupia</w:t>
      </w:r>
      <w:r w:rsidR="00B34583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u</w:t>
      </w:r>
      <w:r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stala się na rok 202</w:t>
      </w:r>
      <w:r w:rsidR="009C6027">
        <w:rPr>
          <w:rFonts w:ascii="Times New Roman" w:eastAsiaTheme="minorHAnsi" w:hAnsi="Times New Roman" w:cs="Times New Roman"/>
          <w:color w:val="auto"/>
          <w:sz w:val="22"/>
          <w:szCs w:val="22"/>
        </w:rPr>
        <w:t>2</w:t>
      </w:r>
      <w:r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maksymalną kwotę dofinansowania do opłat za kształcenie nauczycieli pobierane przez </w:t>
      </w:r>
      <w:r w:rsidR="00F03B42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podmioty, o których mowa w art. 70a ust</w:t>
      </w:r>
      <w:r w:rsid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  <w:r w:rsidR="00F03B42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3</w:t>
      </w:r>
      <w:r w:rsidR="009C6027">
        <w:rPr>
          <w:rFonts w:ascii="Times New Roman" w:eastAsiaTheme="minorHAnsi" w:hAnsi="Times New Roman" w:cs="Times New Roman"/>
          <w:color w:val="auto"/>
          <w:sz w:val="22"/>
          <w:szCs w:val="22"/>
        </w:rPr>
        <w:t>a</w:t>
      </w:r>
      <w:r w:rsidR="00F03B42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pkt 1 i 2 ustawy z dnia 26 stycznia 1982 r. Karta Nauczyciela (t.j. z </w:t>
      </w:r>
      <w:r w:rsidR="00B07A53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Dz.U.2021</w:t>
      </w:r>
      <w:r w:rsidR="00EC2F56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poz.</w:t>
      </w:r>
      <w:r w:rsidR="00B07A53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1762) </w:t>
      </w:r>
      <w:r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w wysokości do 80% tej opłaty za cały cykl kształcenia w danej formie, nie więcej jednak niż 2</w:t>
      </w:r>
      <w:r w:rsidR="00EC2F56"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.</w:t>
      </w:r>
      <w:r w:rsidRPr="009D0C33">
        <w:rPr>
          <w:rFonts w:ascii="Times New Roman" w:eastAsiaTheme="minorHAnsi" w:hAnsi="Times New Roman" w:cs="Times New Roman"/>
          <w:color w:val="auto"/>
          <w:sz w:val="22"/>
          <w:szCs w:val="22"/>
        </w:rPr>
        <w:t>000,00 zł dla jednego nauczyciela</w:t>
      </w:r>
      <w:r w:rsidRPr="00B07A53">
        <w:rPr>
          <w:rFonts w:ascii="Times New Roman" w:hAnsi="Times New Roman" w:cs="Times New Roman"/>
          <w:color w:val="auto"/>
        </w:rPr>
        <w:t>.</w:t>
      </w:r>
    </w:p>
    <w:p w14:paraId="25248356" w14:textId="77777777" w:rsidR="00B34583" w:rsidRPr="00A421D2" w:rsidRDefault="00917C98" w:rsidP="00EC2F5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07A53">
        <w:rPr>
          <w:rFonts w:ascii="Times New Roman" w:hAnsi="Times New Roman" w:cs="Times New Roman"/>
          <w:b/>
        </w:rPr>
        <w:t>2</w:t>
      </w:r>
      <w:r w:rsidRPr="00B07A53">
        <w:rPr>
          <w:rFonts w:ascii="Times New Roman" w:hAnsi="Times New Roman" w:cs="Times New Roman"/>
        </w:rPr>
        <w:t>. Kursy doskonalące, szkolenia i warsztaty związane z bieżącym funkcjonowaniem szkoły oraz w</w:t>
      </w:r>
      <w:r w:rsidR="000921C8" w:rsidRPr="00B07A53">
        <w:rPr>
          <w:rFonts w:ascii="Times New Roman" w:hAnsi="Times New Roman" w:cs="Times New Roman"/>
        </w:rPr>
        <w:t xml:space="preserve">ynikające z zaleceń instytucji </w:t>
      </w:r>
      <w:r w:rsidRPr="00B07A53">
        <w:rPr>
          <w:rFonts w:ascii="Times New Roman" w:hAnsi="Times New Roman" w:cs="Times New Roman"/>
        </w:rPr>
        <w:t>zewnętrzn</w:t>
      </w:r>
      <w:r w:rsidR="0053570A" w:rsidRPr="00B07A53">
        <w:rPr>
          <w:rFonts w:ascii="Times New Roman" w:hAnsi="Times New Roman" w:cs="Times New Roman"/>
        </w:rPr>
        <w:t>ych</w:t>
      </w:r>
      <w:r w:rsidRPr="00B07A53">
        <w:rPr>
          <w:rFonts w:ascii="Times New Roman" w:hAnsi="Times New Roman" w:cs="Times New Roman"/>
        </w:rPr>
        <w:t xml:space="preserve"> w tym organu sprawującego nadzór pedagogiczny są finansowane </w:t>
      </w:r>
      <w:r w:rsidRPr="00A421D2">
        <w:rPr>
          <w:rFonts w:ascii="Times New Roman" w:hAnsi="Times New Roman" w:cs="Times New Roman"/>
        </w:rPr>
        <w:t>w 100%</w:t>
      </w:r>
      <w:r w:rsidR="007E0F63" w:rsidRPr="00A421D2">
        <w:rPr>
          <w:rFonts w:ascii="Times New Roman" w:hAnsi="Times New Roman" w:cs="Times New Roman"/>
        </w:rPr>
        <w:t xml:space="preserve"> dla nauczycieli i kadry kierowniczej</w:t>
      </w:r>
      <w:r w:rsidRPr="00A421D2">
        <w:rPr>
          <w:rFonts w:ascii="Times New Roman" w:hAnsi="Times New Roman" w:cs="Times New Roman"/>
        </w:rPr>
        <w:t>.</w:t>
      </w:r>
    </w:p>
    <w:p w14:paraId="04CF40D4" w14:textId="77777777" w:rsidR="00917C98" w:rsidRPr="00A421D2" w:rsidRDefault="00937A37" w:rsidP="00EC2F5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  <w:b/>
        </w:rPr>
        <w:t>3</w:t>
      </w:r>
      <w:r w:rsidR="00B34583" w:rsidRPr="00A421D2">
        <w:rPr>
          <w:rFonts w:ascii="Times New Roman" w:hAnsi="Times New Roman" w:cs="Times New Roman"/>
          <w:b/>
        </w:rPr>
        <w:t>.</w:t>
      </w:r>
      <w:r w:rsidRPr="00A421D2">
        <w:rPr>
          <w:rFonts w:ascii="Times New Roman" w:hAnsi="Times New Roman" w:cs="Times New Roman"/>
        </w:rPr>
        <w:t xml:space="preserve"> W przypadku, gdy nauczyciel kształci się na więcej niż jednym kierunku, dofinansowaniu podlega tylko jeden z nich.</w:t>
      </w:r>
    </w:p>
    <w:p w14:paraId="42229E45" w14:textId="77777777" w:rsidR="00A77C13" w:rsidRPr="00A421D2" w:rsidRDefault="00917C98" w:rsidP="009D0C3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>§ 4.</w:t>
      </w:r>
    </w:p>
    <w:p w14:paraId="1DF6BC8A" w14:textId="51C15E76" w:rsidR="00917C98" w:rsidRPr="00A421D2" w:rsidRDefault="00917C98" w:rsidP="00EC2F5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</w:rPr>
        <w:t xml:space="preserve"> Wykonanie </w:t>
      </w:r>
      <w:r w:rsidR="00937A37" w:rsidRPr="00A421D2">
        <w:rPr>
          <w:rFonts w:ascii="Times New Roman" w:hAnsi="Times New Roman" w:cs="Times New Roman"/>
        </w:rPr>
        <w:t>zarządzenia</w:t>
      </w:r>
      <w:r w:rsidRPr="00A421D2">
        <w:rPr>
          <w:rFonts w:ascii="Times New Roman" w:hAnsi="Times New Roman" w:cs="Times New Roman"/>
        </w:rPr>
        <w:t xml:space="preserve"> powierza się dyrektorom szkół</w:t>
      </w:r>
      <w:r w:rsidR="007E08BA" w:rsidRPr="00A421D2">
        <w:rPr>
          <w:rFonts w:ascii="Times New Roman" w:hAnsi="Times New Roman" w:cs="Times New Roman"/>
        </w:rPr>
        <w:t xml:space="preserve"> i placówek</w:t>
      </w:r>
      <w:r w:rsidRPr="00A421D2">
        <w:rPr>
          <w:rFonts w:ascii="Times New Roman" w:hAnsi="Times New Roman" w:cs="Times New Roman"/>
        </w:rPr>
        <w:t xml:space="preserve">, dla których organem prowadzącym jest </w:t>
      </w:r>
      <w:r w:rsidR="007E08BA" w:rsidRPr="00A421D2">
        <w:rPr>
          <w:rFonts w:ascii="Times New Roman" w:hAnsi="Times New Roman" w:cs="Times New Roman"/>
        </w:rPr>
        <w:t>G</w:t>
      </w:r>
      <w:r w:rsidRPr="00A421D2">
        <w:rPr>
          <w:rFonts w:ascii="Times New Roman" w:hAnsi="Times New Roman" w:cs="Times New Roman"/>
        </w:rPr>
        <w:t xml:space="preserve">mina </w:t>
      </w:r>
      <w:r w:rsidR="00A77C13" w:rsidRPr="00A421D2">
        <w:rPr>
          <w:rFonts w:ascii="Times New Roman" w:hAnsi="Times New Roman" w:cs="Times New Roman"/>
        </w:rPr>
        <w:t>Nowa Słupia</w:t>
      </w:r>
      <w:r w:rsidRPr="00A421D2">
        <w:rPr>
          <w:rFonts w:ascii="Times New Roman" w:hAnsi="Times New Roman" w:cs="Times New Roman"/>
        </w:rPr>
        <w:t>.</w:t>
      </w:r>
    </w:p>
    <w:p w14:paraId="41C0F1C1" w14:textId="77777777" w:rsidR="00A77C13" w:rsidRPr="00A421D2" w:rsidRDefault="00917C98" w:rsidP="00A77C1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1D2">
        <w:rPr>
          <w:rFonts w:ascii="Times New Roman" w:hAnsi="Times New Roman" w:cs="Times New Roman"/>
          <w:b/>
        </w:rPr>
        <w:t>§ 5.</w:t>
      </w:r>
    </w:p>
    <w:p w14:paraId="5FFAF1E2" w14:textId="06C4801B" w:rsidR="00EC2F56" w:rsidRPr="00A326BE" w:rsidRDefault="00917C98" w:rsidP="00A326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421D2">
        <w:rPr>
          <w:rFonts w:ascii="Times New Roman" w:hAnsi="Times New Roman" w:cs="Times New Roman"/>
        </w:rPr>
        <w:t xml:space="preserve"> </w:t>
      </w:r>
      <w:r w:rsidR="00B34583" w:rsidRPr="00A421D2">
        <w:rPr>
          <w:rFonts w:ascii="Times New Roman" w:hAnsi="Times New Roman" w:cs="Times New Roman"/>
        </w:rPr>
        <w:t>Zarządzenie wchodzi w życie z dniem podpisania.</w:t>
      </w:r>
    </w:p>
    <w:p w14:paraId="53030BAB" w14:textId="77777777" w:rsidR="006872F1" w:rsidRDefault="006872F1" w:rsidP="00917C98">
      <w:pPr>
        <w:spacing w:after="120" w:line="240" w:lineRule="auto"/>
      </w:pPr>
    </w:p>
    <w:p w14:paraId="1529FB95" w14:textId="77777777" w:rsidR="001E7679" w:rsidRDefault="001E7679" w:rsidP="00DC6FEB">
      <w:pPr>
        <w:spacing w:after="120" w:line="240" w:lineRule="auto"/>
        <w:jc w:val="center"/>
      </w:pPr>
    </w:p>
    <w:p w14:paraId="41C2592A" w14:textId="77777777" w:rsidR="001E7679" w:rsidRDefault="001E7679" w:rsidP="001E7679">
      <w:pPr>
        <w:spacing w:after="120" w:line="240" w:lineRule="auto"/>
        <w:jc w:val="right"/>
        <w:rPr>
          <w:i/>
        </w:rPr>
      </w:pPr>
    </w:p>
    <w:p w14:paraId="57E36797" w14:textId="65D149FC" w:rsidR="001E7679" w:rsidRPr="00505AA0" w:rsidRDefault="001E7679" w:rsidP="001E7679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259F">
        <w:rPr>
          <w:rFonts w:ascii="Times New Roman" w:hAnsi="Times New Roman" w:cs="Times New Roman"/>
          <w:i/>
          <w:sz w:val="18"/>
          <w:szCs w:val="18"/>
        </w:rPr>
        <w:lastRenderedPageBreak/>
        <w:t>Załącznik  do Zarządzeni</w:t>
      </w:r>
      <w:r>
        <w:rPr>
          <w:rFonts w:ascii="Times New Roman" w:hAnsi="Times New Roman" w:cs="Times New Roman"/>
          <w:i/>
          <w:sz w:val="18"/>
          <w:szCs w:val="18"/>
        </w:rPr>
        <w:t>a</w:t>
      </w:r>
      <w:r w:rsidRPr="00F7259F">
        <w:rPr>
          <w:rFonts w:ascii="Times New Roman" w:hAnsi="Times New Roman" w:cs="Times New Roman"/>
          <w:i/>
          <w:sz w:val="18"/>
          <w:szCs w:val="18"/>
        </w:rPr>
        <w:t xml:space="preserve"> Nr </w:t>
      </w:r>
      <w:r w:rsidR="00FF59E2">
        <w:rPr>
          <w:rFonts w:ascii="Times New Roman" w:hAnsi="Times New Roman" w:cs="Times New Roman"/>
          <w:i/>
          <w:sz w:val="18"/>
          <w:szCs w:val="18"/>
        </w:rPr>
        <w:t>14/2022</w:t>
      </w:r>
      <w:r w:rsidRPr="00F7259F"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>Burmistrza Miasta i Gminy</w:t>
      </w:r>
      <w:r w:rsidRPr="00F7259F">
        <w:rPr>
          <w:rFonts w:ascii="Times New Roman" w:hAnsi="Times New Roman" w:cs="Times New Roman"/>
          <w:i/>
          <w:sz w:val="18"/>
          <w:szCs w:val="18"/>
        </w:rPr>
        <w:t xml:space="preserve"> z dnia </w:t>
      </w:r>
      <w:r w:rsidR="00FF59E2">
        <w:rPr>
          <w:rFonts w:ascii="Times New Roman" w:hAnsi="Times New Roman" w:cs="Times New Roman"/>
          <w:i/>
          <w:sz w:val="18"/>
          <w:szCs w:val="18"/>
        </w:rPr>
        <w:t>31.01.2022</w:t>
      </w:r>
      <w:bookmarkStart w:id="1" w:name="_GoBack"/>
      <w:bookmarkEnd w:id="1"/>
      <w:r w:rsidRPr="00F7259F">
        <w:rPr>
          <w:rFonts w:ascii="Times New Roman" w:hAnsi="Times New Roman" w:cs="Times New Roman"/>
          <w:i/>
          <w:sz w:val="18"/>
          <w:szCs w:val="18"/>
        </w:rPr>
        <w:t>r</w:t>
      </w:r>
      <w:r w:rsidRPr="00F7259F">
        <w:rPr>
          <w:rFonts w:ascii="Times New Roman" w:hAnsi="Times New Roman" w:cs="Times New Roman"/>
          <w:sz w:val="18"/>
          <w:szCs w:val="18"/>
        </w:rPr>
        <w:t>.</w:t>
      </w:r>
    </w:p>
    <w:p w14:paraId="4A09E2B2" w14:textId="77777777" w:rsidR="001E7679" w:rsidRPr="006A12A0" w:rsidRDefault="001E7679" w:rsidP="001E76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12A0">
        <w:rPr>
          <w:rFonts w:ascii="Times New Roman" w:hAnsi="Times New Roman" w:cs="Times New Roman"/>
          <w:b/>
        </w:rPr>
        <w:t xml:space="preserve">PLAN DOFINANSOWANIA </w:t>
      </w:r>
      <w:r w:rsidRPr="006A12A0">
        <w:rPr>
          <w:rFonts w:ascii="Times New Roman" w:hAnsi="Times New Roman" w:cs="Times New Roman"/>
          <w:b/>
        </w:rPr>
        <w:br/>
        <w:t>FORM DOSKONALENIA ZAWODOWEGO NAUCZYCIELI</w:t>
      </w:r>
    </w:p>
    <w:p w14:paraId="784AB481" w14:textId="350ED8A1" w:rsidR="001E7679" w:rsidRPr="00505AA0" w:rsidRDefault="001E7679" w:rsidP="001E76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A12A0">
        <w:rPr>
          <w:rFonts w:ascii="Times New Roman" w:hAnsi="Times New Roman" w:cs="Times New Roman"/>
          <w:b/>
        </w:rPr>
        <w:t xml:space="preserve">W GMINIE </w:t>
      </w:r>
      <w:r>
        <w:rPr>
          <w:rFonts w:ascii="Times New Roman" w:hAnsi="Times New Roman" w:cs="Times New Roman"/>
          <w:b/>
        </w:rPr>
        <w:t>NOWA SŁUPIA</w:t>
      </w:r>
      <w:r w:rsidRPr="006A12A0">
        <w:rPr>
          <w:rFonts w:ascii="Times New Roman" w:hAnsi="Times New Roman" w:cs="Times New Roman"/>
          <w:b/>
        </w:rPr>
        <w:t xml:space="preserve"> W 202</w:t>
      </w:r>
      <w:r w:rsidR="00091013">
        <w:rPr>
          <w:rFonts w:ascii="Times New Roman" w:hAnsi="Times New Roman" w:cs="Times New Roman"/>
          <w:b/>
        </w:rPr>
        <w:t>2</w:t>
      </w:r>
      <w:r w:rsidRPr="006A12A0">
        <w:rPr>
          <w:rFonts w:ascii="Times New Roman" w:hAnsi="Times New Roman" w:cs="Times New Roman"/>
          <w:b/>
        </w:rPr>
        <w:t xml:space="preserve"> ROKU</w:t>
      </w:r>
    </w:p>
    <w:tbl>
      <w:tblPr>
        <w:tblStyle w:val="Tabela-Siatka"/>
        <w:tblW w:w="10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44"/>
        <w:gridCol w:w="1467"/>
        <w:gridCol w:w="1426"/>
        <w:gridCol w:w="1534"/>
      </w:tblGrid>
      <w:tr w:rsidR="001E7679" w14:paraId="21CFC574" w14:textId="77777777" w:rsidTr="001E7679">
        <w:trPr>
          <w:trHeight w:val="455"/>
        </w:trPr>
        <w:tc>
          <w:tcPr>
            <w:tcW w:w="567" w:type="dxa"/>
            <w:vMerge w:val="restart"/>
          </w:tcPr>
          <w:p w14:paraId="64FBC401" w14:textId="77777777" w:rsidR="001E7679" w:rsidRPr="001A0FC8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bookmarkStart w:id="2" w:name="_Hlk31179557"/>
            <w:r w:rsidRPr="001A0FC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03" w:type="dxa"/>
            <w:vMerge w:val="restart"/>
          </w:tcPr>
          <w:p w14:paraId="299B400B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E7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Zakres i specjalności kształcenia</w:t>
            </w:r>
            <w:r w:rsidRPr="009E7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944" w:type="dxa"/>
            <w:vMerge w:val="restart"/>
          </w:tcPr>
          <w:p w14:paraId="43F4AC21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E7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Formy kształcenia i  doskonalenia zawodowego</w:t>
            </w:r>
          </w:p>
        </w:tc>
        <w:tc>
          <w:tcPr>
            <w:tcW w:w="2893" w:type="dxa"/>
            <w:gridSpan w:val="2"/>
          </w:tcPr>
          <w:p w14:paraId="1C7C486E" w14:textId="77777777" w:rsidR="001E7679" w:rsidRPr="009E7122" w:rsidRDefault="001E7679" w:rsidP="00B775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E7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Planowane koszty</w:t>
            </w:r>
          </w:p>
        </w:tc>
        <w:tc>
          <w:tcPr>
            <w:tcW w:w="1534" w:type="dxa"/>
            <w:vMerge w:val="restart"/>
          </w:tcPr>
          <w:p w14:paraId="66F360A7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E7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Max dofinansowanie %</w:t>
            </w:r>
          </w:p>
        </w:tc>
      </w:tr>
      <w:tr w:rsidR="001E7679" w14:paraId="296DAAFF" w14:textId="77777777" w:rsidTr="001E7679">
        <w:trPr>
          <w:trHeight w:val="454"/>
        </w:trPr>
        <w:tc>
          <w:tcPr>
            <w:tcW w:w="567" w:type="dxa"/>
            <w:vMerge/>
          </w:tcPr>
          <w:p w14:paraId="3AD6C45D" w14:textId="77777777" w:rsidR="001E7679" w:rsidRPr="001A0FC8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403" w:type="dxa"/>
            <w:vMerge/>
          </w:tcPr>
          <w:p w14:paraId="5C37F9BA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vMerge/>
          </w:tcPr>
          <w:p w14:paraId="6A743B85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</w:tcPr>
          <w:p w14:paraId="081C4D30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Szkoła Podstawowa w Nowej Słupi</w:t>
            </w:r>
          </w:p>
        </w:tc>
        <w:tc>
          <w:tcPr>
            <w:tcW w:w="1426" w:type="dxa"/>
          </w:tcPr>
          <w:p w14:paraId="40C9E52E" w14:textId="77777777" w:rsidR="001E7679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Zespół Szkół w Rudkach</w:t>
            </w:r>
          </w:p>
        </w:tc>
        <w:tc>
          <w:tcPr>
            <w:tcW w:w="1534" w:type="dxa"/>
            <w:vMerge/>
          </w:tcPr>
          <w:p w14:paraId="1C69FF23" w14:textId="77777777" w:rsidR="001E7679" w:rsidRPr="009E7122" w:rsidRDefault="001E7679" w:rsidP="00B775B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70E6" w14:paraId="788D1781" w14:textId="77777777" w:rsidTr="00F978B5">
        <w:tc>
          <w:tcPr>
            <w:tcW w:w="567" w:type="dxa"/>
          </w:tcPr>
          <w:p w14:paraId="6F45C4D6" w14:textId="77777777" w:rsidR="009870E6" w:rsidRDefault="009870E6" w:rsidP="009870E6">
            <w:pPr>
              <w:spacing w:after="120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3" w:type="dxa"/>
          </w:tcPr>
          <w:p w14:paraId="629D3B87" w14:textId="77777777" w:rsidR="009870E6" w:rsidRPr="00F1146F" w:rsidRDefault="009870E6" w:rsidP="009870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>Kwalifikacje do terapii, edukacji i rehabilitacji dzieci i młodzieży z Autyzmem, zespołem Aspargera i innymi zaburzeniami oraz  niepełnosprawnych intelektualnie w tym m.in. surdopedagogika, tyflopedagogika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 xml:space="preserve"> logopedia</w:t>
            </w:r>
          </w:p>
        </w:tc>
        <w:tc>
          <w:tcPr>
            <w:tcW w:w="1944" w:type="dxa"/>
            <w:vMerge w:val="restart"/>
          </w:tcPr>
          <w:p w14:paraId="45019890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6946A314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5EB1D24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7C9D6FB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55491A0C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0792768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72E9B3F1" w14:textId="77777777" w:rsidR="009870E6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0AA92BCD" w14:textId="77777777" w:rsidR="009870E6" w:rsidRPr="00F1146F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Studia podyplomowe</w:t>
            </w:r>
          </w:p>
          <w:p w14:paraId="170205B5" w14:textId="77777777" w:rsidR="009870E6" w:rsidRPr="00F1146F" w:rsidRDefault="009870E6" w:rsidP="009870E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Kursy kwalifikacyjne</w:t>
            </w:r>
          </w:p>
        </w:tc>
        <w:tc>
          <w:tcPr>
            <w:tcW w:w="1467" w:type="dxa"/>
            <w:vMerge w:val="restart"/>
          </w:tcPr>
          <w:p w14:paraId="65305C27" w14:textId="418F67A6" w:rsidR="009870E6" w:rsidRPr="009870E6" w:rsidRDefault="009870E6" w:rsidP="009870E6">
            <w:pPr>
              <w:spacing w:after="120"/>
              <w:jc w:val="right"/>
              <w:rPr>
                <w:rFonts w:cstheme="minorHAnsi"/>
              </w:rPr>
            </w:pPr>
            <w:r w:rsidRPr="009870E6">
              <w:rPr>
                <w:rFonts w:cstheme="minorHAnsi"/>
              </w:rPr>
              <w:t>11.000,00</w:t>
            </w:r>
          </w:p>
        </w:tc>
        <w:tc>
          <w:tcPr>
            <w:tcW w:w="1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E4086" w14:textId="7969B7FB" w:rsidR="009870E6" w:rsidRPr="009870E6" w:rsidRDefault="009870E6" w:rsidP="009870E6">
            <w:pPr>
              <w:spacing w:after="120"/>
              <w:jc w:val="right"/>
              <w:rPr>
                <w:rFonts w:cstheme="minorHAnsi"/>
              </w:rPr>
            </w:pPr>
            <w:r w:rsidRPr="009870E6">
              <w:rPr>
                <w:rFonts w:cstheme="minorHAnsi"/>
              </w:rPr>
              <w:t>10.000,00</w:t>
            </w:r>
          </w:p>
        </w:tc>
        <w:tc>
          <w:tcPr>
            <w:tcW w:w="1534" w:type="dxa"/>
            <w:vMerge w:val="restart"/>
          </w:tcPr>
          <w:p w14:paraId="407DFF2A" w14:textId="77777777" w:rsidR="009870E6" w:rsidRDefault="009870E6" w:rsidP="009870E6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3CB2C7BA" w14:textId="77777777" w:rsidR="009870E6" w:rsidRDefault="009870E6" w:rsidP="009870E6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31A4F068" w14:textId="77777777" w:rsidR="009870E6" w:rsidRDefault="009870E6" w:rsidP="009870E6">
            <w:pPr>
              <w:spacing w:after="120"/>
              <w:jc w:val="center"/>
              <w:rPr>
                <w:sz w:val="20"/>
                <w:szCs w:val="20"/>
              </w:rPr>
            </w:pPr>
          </w:p>
          <w:p w14:paraId="698398BA" w14:textId="77777777" w:rsidR="009870E6" w:rsidRPr="000921C8" w:rsidRDefault="009870E6" w:rsidP="009870E6">
            <w:pPr>
              <w:spacing w:after="120"/>
              <w:jc w:val="center"/>
              <w:rPr>
                <w:sz w:val="20"/>
                <w:szCs w:val="20"/>
              </w:rPr>
            </w:pPr>
            <w:r w:rsidRPr="000921C8">
              <w:rPr>
                <w:sz w:val="20"/>
                <w:szCs w:val="20"/>
              </w:rPr>
              <w:t xml:space="preserve">Max dofinansowanie </w:t>
            </w:r>
            <w:r>
              <w:rPr>
                <w:sz w:val="20"/>
                <w:szCs w:val="20"/>
              </w:rPr>
              <w:br/>
            </w:r>
            <w:r w:rsidRPr="000921C8">
              <w:rPr>
                <w:sz w:val="20"/>
                <w:szCs w:val="20"/>
              </w:rPr>
              <w:t>w wysokości do 80% opłat za kształcenie</w:t>
            </w:r>
            <w:r>
              <w:rPr>
                <w:sz w:val="20"/>
                <w:szCs w:val="20"/>
              </w:rPr>
              <w:t>,</w:t>
            </w:r>
            <w:r w:rsidRPr="000921C8">
              <w:rPr>
                <w:sz w:val="20"/>
                <w:szCs w:val="20"/>
              </w:rPr>
              <w:t xml:space="preserve"> jednak nie więcej </w:t>
            </w:r>
            <w:r>
              <w:rPr>
                <w:sz w:val="20"/>
                <w:szCs w:val="20"/>
              </w:rPr>
              <w:t>niż</w:t>
            </w:r>
            <w:r w:rsidRPr="000921C8">
              <w:rPr>
                <w:sz w:val="20"/>
                <w:szCs w:val="20"/>
              </w:rPr>
              <w:t xml:space="preserve"> 2000,00 zł</w:t>
            </w:r>
          </w:p>
          <w:p w14:paraId="1FA78459" w14:textId="67C41C6E" w:rsidR="009870E6" w:rsidRPr="000921C8" w:rsidRDefault="009870E6" w:rsidP="009870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9870E6" w14:paraId="28BAD3EB" w14:textId="77777777" w:rsidTr="00F978B5">
        <w:trPr>
          <w:trHeight w:val="604"/>
        </w:trPr>
        <w:tc>
          <w:tcPr>
            <w:tcW w:w="567" w:type="dxa"/>
          </w:tcPr>
          <w:p w14:paraId="57CBB383" w14:textId="77777777" w:rsidR="009870E6" w:rsidRDefault="009870E6" w:rsidP="009870E6">
            <w:pPr>
              <w:spacing w:after="120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14:paraId="3CB287F9" w14:textId="77777777" w:rsidR="009870E6" w:rsidRPr="00F1146F" w:rsidRDefault="009870E6" w:rsidP="009870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>Kwalifikacje do prowadzenia zajęć w ramach pomocy psychologiczno-pedagogicznej</w:t>
            </w:r>
          </w:p>
        </w:tc>
        <w:tc>
          <w:tcPr>
            <w:tcW w:w="1944" w:type="dxa"/>
            <w:vMerge/>
          </w:tcPr>
          <w:p w14:paraId="28173E10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</w:tcPr>
          <w:p w14:paraId="1EB4C727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8E6C2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94DCF" w14:textId="77777777" w:rsidR="009870E6" w:rsidRDefault="009870E6" w:rsidP="009870E6">
            <w:pPr>
              <w:spacing w:after="120"/>
              <w:jc w:val="center"/>
            </w:pPr>
          </w:p>
        </w:tc>
      </w:tr>
      <w:tr w:rsidR="009870E6" w14:paraId="4A238F8C" w14:textId="77777777" w:rsidTr="00F978B5">
        <w:trPr>
          <w:trHeight w:val="407"/>
        </w:trPr>
        <w:tc>
          <w:tcPr>
            <w:tcW w:w="567" w:type="dxa"/>
          </w:tcPr>
          <w:p w14:paraId="2260B06B" w14:textId="77777777" w:rsidR="009870E6" w:rsidRDefault="009870E6" w:rsidP="009870E6">
            <w:pPr>
              <w:spacing w:after="120"/>
              <w:jc w:val="right"/>
            </w:pPr>
            <w:r>
              <w:t>3.</w:t>
            </w:r>
          </w:p>
        </w:tc>
        <w:tc>
          <w:tcPr>
            <w:tcW w:w="3403" w:type="dxa"/>
          </w:tcPr>
          <w:p w14:paraId="725CCEBC" w14:textId="77777777" w:rsidR="009870E6" w:rsidRPr="00F1146F" w:rsidRDefault="009870E6" w:rsidP="009870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>Bibliotekoznawstwo</w:t>
            </w:r>
          </w:p>
        </w:tc>
        <w:tc>
          <w:tcPr>
            <w:tcW w:w="1944" w:type="dxa"/>
            <w:vMerge/>
          </w:tcPr>
          <w:p w14:paraId="6D7408A4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</w:tcPr>
          <w:p w14:paraId="177C6FA5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3CE5B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0427D" w14:textId="77777777" w:rsidR="009870E6" w:rsidRDefault="009870E6" w:rsidP="009870E6">
            <w:pPr>
              <w:spacing w:after="120"/>
              <w:jc w:val="center"/>
            </w:pPr>
          </w:p>
        </w:tc>
      </w:tr>
      <w:tr w:rsidR="009870E6" w14:paraId="744E6158" w14:textId="77777777" w:rsidTr="00F978B5">
        <w:tc>
          <w:tcPr>
            <w:tcW w:w="567" w:type="dxa"/>
          </w:tcPr>
          <w:p w14:paraId="5146DB67" w14:textId="77777777" w:rsidR="009870E6" w:rsidRDefault="009870E6" w:rsidP="009870E6">
            <w:pPr>
              <w:spacing w:after="120"/>
              <w:jc w:val="right"/>
            </w:pPr>
            <w:r>
              <w:t>4.</w:t>
            </w:r>
          </w:p>
        </w:tc>
        <w:tc>
          <w:tcPr>
            <w:tcW w:w="3403" w:type="dxa"/>
          </w:tcPr>
          <w:p w14:paraId="265BEDB0" w14:textId="77777777" w:rsidR="009870E6" w:rsidRPr="00F1146F" w:rsidRDefault="009870E6" w:rsidP="009870E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 xml:space="preserve">Kwalifikacje uprawniające do nauczania drugiego przedmiotu lub prowadzenia innych zajęć edukacyjnych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1146F">
              <w:rPr>
                <w:rFonts w:ascii="Times New Roman" w:hAnsi="Times New Roman" w:cs="Times New Roman"/>
                <w:sz w:val="20"/>
                <w:szCs w:val="20"/>
              </w:rPr>
              <w:t>w specjalnościach zgodnych z potrzebami szkoły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zaleceniami nadzoru pedagogicznego</w:t>
            </w:r>
          </w:p>
        </w:tc>
        <w:tc>
          <w:tcPr>
            <w:tcW w:w="1944" w:type="dxa"/>
            <w:vMerge/>
          </w:tcPr>
          <w:p w14:paraId="2FBA48AA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</w:tcPr>
          <w:p w14:paraId="18825F6D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939EE1" w14:textId="77777777" w:rsidR="009870E6" w:rsidRPr="009870E6" w:rsidRDefault="009870E6" w:rsidP="009870E6">
            <w:pPr>
              <w:spacing w:after="120"/>
              <w:jc w:val="center"/>
              <w:rPr>
                <w:rFonts w:cstheme="minorHAnsi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3061E" w14:textId="77777777" w:rsidR="009870E6" w:rsidRDefault="009870E6" w:rsidP="009870E6">
            <w:pPr>
              <w:spacing w:after="120"/>
              <w:jc w:val="center"/>
            </w:pPr>
          </w:p>
        </w:tc>
      </w:tr>
      <w:tr w:rsidR="009870E6" w14:paraId="1F7B6B57" w14:textId="77777777" w:rsidTr="00F978B5">
        <w:tc>
          <w:tcPr>
            <w:tcW w:w="567" w:type="dxa"/>
          </w:tcPr>
          <w:p w14:paraId="7DF972DD" w14:textId="77777777" w:rsidR="009870E6" w:rsidRDefault="009870E6" w:rsidP="009870E6">
            <w:pPr>
              <w:spacing w:after="120"/>
              <w:jc w:val="right"/>
            </w:pPr>
            <w:r>
              <w:t>5.</w:t>
            </w:r>
          </w:p>
        </w:tc>
        <w:tc>
          <w:tcPr>
            <w:tcW w:w="3403" w:type="dxa"/>
          </w:tcPr>
          <w:p w14:paraId="65B878E7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Inne wynikające z programu dydaktyczno-wychowawczego oraz z potrzeb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szkoły lub zaleceń organu nadzoru pedagogicznego</w:t>
            </w:r>
          </w:p>
        </w:tc>
        <w:tc>
          <w:tcPr>
            <w:tcW w:w="1944" w:type="dxa"/>
            <w:vMerge/>
          </w:tcPr>
          <w:p w14:paraId="7103100E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7" w:type="dxa"/>
            <w:vMerge/>
          </w:tcPr>
          <w:p w14:paraId="1D8BD6A2" w14:textId="77777777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5CDE9" w14:textId="77777777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1AF2" w14:textId="77777777" w:rsidR="009870E6" w:rsidRPr="00525DAD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9870E6" w14:paraId="60C5DF03" w14:textId="77777777" w:rsidTr="00F978B5">
        <w:trPr>
          <w:trHeight w:val="583"/>
        </w:trPr>
        <w:tc>
          <w:tcPr>
            <w:tcW w:w="567" w:type="dxa"/>
          </w:tcPr>
          <w:p w14:paraId="5CD1AFA3" w14:textId="77777777" w:rsidR="009870E6" w:rsidRDefault="009870E6" w:rsidP="009870E6">
            <w:pPr>
              <w:spacing w:after="120"/>
              <w:jc w:val="right"/>
            </w:pPr>
            <w:r>
              <w:t>6.</w:t>
            </w:r>
          </w:p>
        </w:tc>
        <w:tc>
          <w:tcPr>
            <w:tcW w:w="3403" w:type="dxa"/>
          </w:tcPr>
          <w:p w14:paraId="734BE18B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onalenie zawodowe członków r</w:t>
            </w: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ady pedagogicznej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zgodnie z potrzebami szkoły</w:t>
            </w:r>
          </w:p>
        </w:tc>
        <w:tc>
          <w:tcPr>
            <w:tcW w:w="1944" w:type="dxa"/>
          </w:tcPr>
          <w:p w14:paraId="41188FD3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Szkolenia, warsztaty metodyczne i przedmiotowe</w:t>
            </w:r>
          </w:p>
        </w:tc>
        <w:tc>
          <w:tcPr>
            <w:tcW w:w="1467" w:type="dxa"/>
          </w:tcPr>
          <w:p w14:paraId="66527515" w14:textId="5A4B8C8D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>4.000,00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281E5" w14:textId="2A884F26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4.000,00</w:t>
            </w:r>
          </w:p>
        </w:tc>
        <w:tc>
          <w:tcPr>
            <w:tcW w:w="1534" w:type="dxa"/>
            <w:vAlign w:val="center"/>
          </w:tcPr>
          <w:p w14:paraId="521DEACF" w14:textId="6E07625F" w:rsidR="009870E6" w:rsidRPr="000921C8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870E6" w14:paraId="0EF67C4E" w14:textId="77777777" w:rsidTr="00F978B5">
        <w:tc>
          <w:tcPr>
            <w:tcW w:w="567" w:type="dxa"/>
          </w:tcPr>
          <w:p w14:paraId="220971CC" w14:textId="77777777" w:rsidR="009870E6" w:rsidRDefault="009870E6" w:rsidP="009870E6">
            <w:pPr>
              <w:spacing w:after="120"/>
              <w:jc w:val="righ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03" w:type="dxa"/>
          </w:tcPr>
          <w:p w14:paraId="5F5F74AD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Doskonalenie nauczycieli</w:t>
            </w: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i kadry kierowniczej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 zakresie: innowacji pedagogicznych i edukacyjnych, rozwijania kompetencji kluczowych uczniów, rozwijania kreatywności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 i zainteresowań uczniów, pracy z uczniem ze specjalnymi potrzebami edukacyjnymi, udzielania pomocy psychologiczno- pedagogicznej, budowania właściwych relacji w szkole, doskonalenia procedur szkolnych, nadzoru pedagogicznego, zmian w prawie oświatowym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  <w:t xml:space="preserve">- </w:t>
            </w: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zgodnych z potrzebami szkoły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4" w:type="dxa"/>
          </w:tcPr>
          <w:p w14:paraId="6C0BFB52" w14:textId="77777777" w:rsidR="009870E6" w:rsidRPr="00F1146F" w:rsidRDefault="009870E6" w:rsidP="009870E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Kursy, s</w:t>
            </w:r>
            <w:r w:rsidRPr="00F114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zkolenia, warsztaty metodyczne i przedmiotowe, seminaria, konferencje szkoleniowe oraz inne formy doskonalenia nauczycieli, w tym nauczycieli zajmujących stanowiska kierownicze</w:t>
            </w:r>
          </w:p>
        </w:tc>
        <w:tc>
          <w:tcPr>
            <w:tcW w:w="1467" w:type="dxa"/>
          </w:tcPr>
          <w:p w14:paraId="22B556E7" w14:textId="4A7382F3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>3.000,00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394CA" w14:textId="2C55CABA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5.000,00</w:t>
            </w:r>
          </w:p>
        </w:tc>
        <w:tc>
          <w:tcPr>
            <w:tcW w:w="1534" w:type="dxa"/>
            <w:vAlign w:val="center"/>
          </w:tcPr>
          <w:p w14:paraId="4CFFDE0D" w14:textId="724F10EB" w:rsidR="009870E6" w:rsidRPr="000921C8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870E6" w14:paraId="5ABE0CF2" w14:textId="77777777" w:rsidTr="001E7679">
        <w:tc>
          <w:tcPr>
            <w:tcW w:w="5914" w:type="dxa"/>
            <w:gridSpan w:val="3"/>
          </w:tcPr>
          <w:p w14:paraId="03837656" w14:textId="77777777" w:rsidR="009870E6" w:rsidRPr="00F1146F" w:rsidRDefault="009870E6" w:rsidP="009870E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655F7E3B" w14:textId="429463FA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>18.000,00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9818" w14:textId="23F75ACD" w:rsidR="009870E6" w:rsidRPr="009870E6" w:rsidRDefault="009870E6" w:rsidP="009870E6">
            <w:pPr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9870E6">
              <w:rPr>
                <w:rFonts w:eastAsia="Times New Roman" w:cstheme="minorHAnsi"/>
                <w:bCs/>
                <w:color w:val="000000"/>
                <w:lang w:eastAsia="pl-PL"/>
              </w:rPr>
              <w:t>19.000,00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299175" w14:textId="77777777" w:rsidR="009870E6" w:rsidRPr="000921C8" w:rsidRDefault="009870E6" w:rsidP="009870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2"/>
    </w:tbl>
    <w:p w14:paraId="480378C7" w14:textId="77777777" w:rsidR="001E7679" w:rsidRDefault="001E7679" w:rsidP="001E7679">
      <w:pPr>
        <w:spacing w:after="120" w:line="240" w:lineRule="auto"/>
      </w:pPr>
    </w:p>
    <w:p w14:paraId="0CB95823" w14:textId="77777777" w:rsidR="001E7679" w:rsidRDefault="001E7679" w:rsidP="00DC6FEB">
      <w:pPr>
        <w:spacing w:after="120" w:line="240" w:lineRule="auto"/>
        <w:jc w:val="center"/>
      </w:pPr>
    </w:p>
    <w:p w14:paraId="16F4A09D" w14:textId="77777777" w:rsidR="001E7679" w:rsidRDefault="001E7679" w:rsidP="00DC6FEB">
      <w:pPr>
        <w:spacing w:after="120" w:line="240" w:lineRule="auto"/>
        <w:jc w:val="center"/>
      </w:pPr>
    </w:p>
    <w:p w14:paraId="74E9519F" w14:textId="3D76F07C" w:rsidR="00917C98" w:rsidRPr="00092E51" w:rsidRDefault="00917C98" w:rsidP="00DC6FEB">
      <w:pPr>
        <w:spacing w:after="120" w:line="240" w:lineRule="auto"/>
        <w:jc w:val="center"/>
      </w:pPr>
      <w:r w:rsidRPr="00092E51">
        <w:t>Uzasadnienie:</w:t>
      </w:r>
    </w:p>
    <w:p w14:paraId="35ED3307" w14:textId="0EBE4A39" w:rsidR="00917C98" w:rsidRPr="00092E51" w:rsidRDefault="00917C98" w:rsidP="00127BFD">
      <w:pPr>
        <w:spacing w:after="120" w:line="240" w:lineRule="auto"/>
        <w:jc w:val="both"/>
      </w:pPr>
      <w:r w:rsidRPr="00092E51">
        <w:lastRenderedPageBreak/>
        <w:t>Zgodnie z art.70a ust 1 ustawy z dnia 26 stycznia 1982 roku – Karta Nauczyciela (</w:t>
      </w:r>
      <w:r w:rsidR="00EC2F56" w:rsidRPr="00B07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Dz.U.2021</w:t>
      </w:r>
      <w:r w:rsidR="00EC2F56">
        <w:rPr>
          <w:rFonts w:ascii="Times New Roman" w:eastAsia="Times New Roman" w:hAnsi="Times New Roman" w:cs="Times New Roman"/>
          <w:bCs/>
          <w:lang w:eastAsia="pl-PL"/>
        </w:rPr>
        <w:t xml:space="preserve"> poz.</w:t>
      </w:r>
      <w:r w:rsidR="00EC2F56" w:rsidRPr="00B07A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1762</w:t>
      </w:r>
      <w:r w:rsidR="00EC2F56" w:rsidRPr="00B07A53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Pr="00092E51">
        <w:t xml:space="preserve">w budżetach organów prowadzących szkoły wyodrębnia się środki na dofinansowanie doskonalenia zawodowego nauczycieli w wysokości 0,8% </w:t>
      </w:r>
      <w:r w:rsidRPr="00092E51">
        <w:rPr>
          <w:rFonts w:ascii="Times New Roman" w:hAnsi="Times New Roman" w:cs="Times New Roman"/>
        </w:rPr>
        <w:t>planowanych rocznych środków przeznaczonych na wynagrodzenia osobowe nauczycieli.</w:t>
      </w:r>
      <w:r w:rsidR="00CC557C">
        <w:rPr>
          <w:rFonts w:ascii="Times New Roman" w:hAnsi="Times New Roman" w:cs="Times New Roman"/>
        </w:rPr>
        <w:t xml:space="preserve"> W budżecie g</w:t>
      </w:r>
      <w:r w:rsidR="00DC6FEB">
        <w:rPr>
          <w:rFonts w:ascii="Times New Roman" w:hAnsi="Times New Roman" w:cs="Times New Roman"/>
        </w:rPr>
        <w:t>miny Nowa Słupia</w:t>
      </w:r>
      <w:r w:rsidR="00CC557C">
        <w:rPr>
          <w:rFonts w:ascii="Times New Roman" w:hAnsi="Times New Roman" w:cs="Times New Roman"/>
        </w:rPr>
        <w:t xml:space="preserve"> na 20</w:t>
      </w:r>
      <w:r w:rsidR="00DC6FEB">
        <w:rPr>
          <w:rFonts w:ascii="Times New Roman" w:hAnsi="Times New Roman" w:cs="Times New Roman"/>
        </w:rPr>
        <w:t>2</w:t>
      </w:r>
      <w:r w:rsidR="00A421D2">
        <w:rPr>
          <w:rFonts w:ascii="Times New Roman" w:hAnsi="Times New Roman" w:cs="Times New Roman"/>
        </w:rPr>
        <w:t>1</w:t>
      </w:r>
      <w:r w:rsidR="00CC557C">
        <w:rPr>
          <w:rFonts w:ascii="Times New Roman" w:hAnsi="Times New Roman" w:cs="Times New Roman"/>
        </w:rPr>
        <w:t xml:space="preserve"> r wyodrębniono na w.w cel kwotę </w:t>
      </w:r>
      <w:r w:rsidR="00DC6FEB">
        <w:rPr>
          <w:rFonts w:ascii="Times New Roman" w:hAnsi="Times New Roman" w:cs="Times New Roman"/>
        </w:rPr>
        <w:t>3</w:t>
      </w:r>
      <w:r w:rsidR="00B07A53">
        <w:rPr>
          <w:rFonts w:ascii="Times New Roman" w:hAnsi="Times New Roman" w:cs="Times New Roman"/>
        </w:rPr>
        <w:t>7</w:t>
      </w:r>
      <w:r w:rsidR="00A421D2">
        <w:rPr>
          <w:rFonts w:ascii="Times New Roman" w:hAnsi="Times New Roman" w:cs="Times New Roman"/>
        </w:rPr>
        <w:t>.0</w:t>
      </w:r>
      <w:r w:rsidR="00DC6FEB">
        <w:rPr>
          <w:rFonts w:ascii="Times New Roman" w:hAnsi="Times New Roman" w:cs="Times New Roman"/>
        </w:rPr>
        <w:t>00</w:t>
      </w:r>
      <w:r w:rsidR="00CC557C">
        <w:rPr>
          <w:rFonts w:ascii="Times New Roman" w:hAnsi="Times New Roman" w:cs="Times New Roman"/>
        </w:rPr>
        <w:t>,00 zł.</w:t>
      </w:r>
    </w:p>
    <w:p w14:paraId="67CB6D88" w14:textId="77777777" w:rsidR="0042424F" w:rsidRDefault="00917C98" w:rsidP="00127BFD">
      <w:pPr>
        <w:ind w:firstLine="708"/>
        <w:jc w:val="both"/>
        <w:rPr>
          <w:rFonts w:ascii="Times New Roman" w:hAnsi="Times New Roman" w:cs="Times New Roman"/>
        </w:rPr>
      </w:pPr>
      <w:r w:rsidRPr="00092E51">
        <w:rPr>
          <w:rFonts w:ascii="Times New Roman" w:hAnsi="Times New Roman" w:cs="Times New Roman"/>
        </w:rPr>
        <w:t>Zgodnie z § 5 rozporządzenia Ministra Edukacji Narodowej z dnia 23 sierpnia 2019 r.</w:t>
      </w:r>
      <w:r w:rsidRPr="00E67C35">
        <w:rPr>
          <w:rFonts w:ascii="Times New Roman" w:hAnsi="Times New Roman" w:cs="Times New Roman"/>
          <w:color w:val="FF0000"/>
        </w:rPr>
        <w:t xml:space="preserve"> </w:t>
      </w:r>
      <w:r w:rsidRPr="00390A6C">
        <w:rPr>
          <w:rFonts w:ascii="Times New Roman" w:hAnsi="Times New Roman" w:cs="Times New Roman"/>
        </w:rPr>
        <w:t xml:space="preserve">w sprawie dofinansowania doskonalenia zawodowego nauczycieli, szczegółowych celów szkolenia branżowego oraz trybu i warunków kierowania nauczycieli na szkolenia </w:t>
      </w:r>
      <w:r w:rsidRPr="006343A1">
        <w:rPr>
          <w:rFonts w:ascii="Times New Roman" w:hAnsi="Times New Roman" w:cs="Times New Roman"/>
        </w:rPr>
        <w:t>branżowe (Dz. U. 2019 r., poz. 1653),</w:t>
      </w:r>
      <w:r w:rsidRPr="00E67C35">
        <w:rPr>
          <w:rFonts w:ascii="Times New Roman" w:hAnsi="Times New Roman" w:cs="Times New Roman"/>
          <w:color w:val="FF0000"/>
        </w:rPr>
        <w:t xml:space="preserve"> </w:t>
      </w:r>
      <w:r w:rsidRPr="006343A1">
        <w:rPr>
          <w:rFonts w:ascii="Times New Roman" w:hAnsi="Times New Roman" w:cs="Times New Roman"/>
        </w:rPr>
        <w:t>organ prowadzący opracowuje na każdy rok budżetowy plan dofinansowania doskonalenia zawodowego nauczycieli, biorąc pod uwagę wnioski dyrektorów szkół, wyniki egzaminów zewnętrznych, oraz podstawowe kierunki</w:t>
      </w:r>
      <w:r w:rsidR="00CC557C">
        <w:rPr>
          <w:rFonts w:ascii="Times New Roman" w:hAnsi="Times New Roman" w:cs="Times New Roman"/>
        </w:rPr>
        <w:t xml:space="preserve"> realizacji</w:t>
      </w:r>
      <w:r w:rsidRPr="006343A1">
        <w:rPr>
          <w:rFonts w:ascii="Times New Roman" w:hAnsi="Times New Roman" w:cs="Times New Roman"/>
        </w:rPr>
        <w:t xml:space="preserve"> polityki oświatowej państwa ustalone przez minist</w:t>
      </w:r>
      <w:r w:rsidR="0042424F">
        <w:rPr>
          <w:rFonts w:ascii="Times New Roman" w:hAnsi="Times New Roman" w:cs="Times New Roman"/>
        </w:rPr>
        <w:t xml:space="preserve">ra właściwego do spraw oświaty </w:t>
      </w:r>
      <w:r w:rsidRPr="006343A1">
        <w:rPr>
          <w:rFonts w:ascii="Times New Roman" w:hAnsi="Times New Roman" w:cs="Times New Roman"/>
        </w:rPr>
        <w:t>i wychowania.</w:t>
      </w:r>
      <w:r>
        <w:rPr>
          <w:rFonts w:ascii="Times New Roman" w:hAnsi="Times New Roman" w:cs="Times New Roman"/>
        </w:rPr>
        <w:t xml:space="preserve"> </w:t>
      </w:r>
    </w:p>
    <w:p w14:paraId="0235DA05" w14:textId="728E1349" w:rsidR="00917C98" w:rsidRPr="006343A1" w:rsidRDefault="0042424F" w:rsidP="00127B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6 wyżej cytowanego rozporządzenia o</w:t>
      </w:r>
      <w:r w:rsidR="00917C98">
        <w:rPr>
          <w:rFonts w:ascii="Times New Roman" w:hAnsi="Times New Roman" w:cs="Times New Roman"/>
        </w:rPr>
        <w:t xml:space="preserve">rgan prowadzący w porozumieniu </w:t>
      </w:r>
      <w:r>
        <w:rPr>
          <w:rFonts w:ascii="Times New Roman" w:hAnsi="Times New Roman" w:cs="Times New Roman"/>
        </w:rPr>
        <w:br/>
      </w:r>
      <w:r w:rsidR="00917C98">
        <w:rPr>
          <w:rFonts w:ascii="Times New Roman" w:hAnsi="Times New Roman" w:cs="Times New Roman"/>
        </w:rPr>
        <w:t>z dyrektorami szkół ustala corocznie maksymalną kwotę dofinansowania opłat pobieranych przez podmioty o których mowa w art.70a ust. 3a pkt 1 i 2 ustawy Karta Nauczyciela</w:t>
      </w:r>
      <w:r>
        <w:rPr>
          <w:rFonts w:ascii="Times New Roman" w:hAnsi="Times New Roman" w:cs="Times New Roman"/>
        </w:rPr>
        <w:t xml:space="preserve"> oraz formy i specjalności, na które dofinansowanie jest przyznawane.</w:t>
      </w:r>
    </w:p>
    <w:p w14:paraId="66F99C99" w14:textId="62FF5642" w:rsidR="00917C98" w:rsidRDefault="0042424F" w:rsidP="00127B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zarządzenia został</w:t>
      </w:r>
      <w:r w:rsidR="00D245C2">
        <w:rPr>
          <w:rFonts w:ascii="Times New Roman" w:hAnsi="Times New Roman" w:cs="Times New Roman"/>
        </w:rPr>
        <w:t xml:space="preserve"> </w:t>
      </w:r>
      <w:r w:rsidR="00DD150B">
        <w:rPr>
          <w:rFonts w:ascii="Times New Roman" w:hAnsi="Times New Roman" w:cs="Times New Roman"/>
        </w:rPr>
        <w:t xml:space="preserve">pozytywnie </w:t>
      </w:r>
      <w:r>
        <w:rPr>
          <w:rFonts w:ascii="Times New Roman" w:hAnsi="Times New Roman" w:cs="Times New Roman"/>
        </w:rPr>
        <w:t xml:space="preserve">zaopiniowany przez Związek Nauczycielstwa Polskiego Zarząd Oddziału w </w:t>
      </w:r>
      <w:r w:rsidR="006D5C78">
        <w:rPr>
          <w:rFonts w:ascii="Times New Roman" w:hAnsi="Times New Roman" w:cs="Times New Roman"/>
        </w:rPr>
        <w:t>Nowej Słupi</w:t>
      </w:r>
      <w:r w:rsidR="00917C98" w:rsidRPr="006343A1">
        <w:rPr>
          <w:rFonts w:ascii="Times New Roman" w:hAnsi="Times New Roman" w:cs="Times New Roman"/>
        </w:rPr>
        <w:t>.</w:t>
      </w:r>
    </w:p>
    <w:p w14:paraId="10F98EED" w14:textId="77777777" w:rsidR="0042424F" w:rsidRPr="006343A1" w:rsidRDefault="0042424F" w:rsidP="00127B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powyższego wydanie niniejszego zarządzenia jest zasadne</w:t>
      </w:r>
      <w:r w:rsidR="00A433A3">
        <w:rPr>
          <w:rFonts w:ascii="Times New Roman" w:hAnsi="Times New Roman" w:cs="Times New Roman"/>
        </w:rPr>
        <w:t>.</w:t>
      </w:r>
    </w:p>
    <w:p w14:paraId="50ECCF72" w14:textId="77777777" w:rsidR="00917C98" w:rsidRPr="00E67C35" w:rsidRDefault="00917C98" w:rsidP="00917C98">
      <w:pPr>
        <w:rPr>
          <w:color w:val="FF0000"/>
        </w:rPr>
      </w:pPr>
    </w:p>
    <w:p w14:paraId="27DF2ED8" w14:textId="77777777" w:rsidR="00917C98" w:rsidRPr="00E67C35" w:rsidRDefault="00917C98" w:rsidP="00917C98">
      <w:pPr>
        <w:rPr>
          <w:color w:val="FF0000"/>
        </w:rPr>
      </w:pPr>
    </w:p>
    <w:p w14:paraId="3814D38F" w14:textId="77777777" w:rsidR="003B3D22" w:rsidRDefault="00FF59E2"/>
    <w:sectPr w:rsidR="003B3D22" w:rsidSect="00937A37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EE8"/>
    <w:multiLevelType w:val="hybridMultilevel"/>
    <w:tmpl w:val="46B8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EF6"/>
    <w:multiLevelType w:val="hybridMultilevel"/>
    <w:tmpl w:val="9F7E18AA"/>
    <w:lvl w:ilvl="0" w:tplc="8C50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98"/>
    <w:rsid w:val="0005794E"/>
    <w:rsid w:val="00091013"/>
    <w:rsid w:val="000921C8"/>
    <w:rsid w:val="00127BFD"/>
    <w:rsid w:val="001C01B6"/>
    <w:rsid w:val="001E7679"/>
    <w:rsid w:val="00281AEF"/>
    <w:rsid w:val="002D6819"/>
    <w:rsid w:val="00312DA5"/>
    <w:rsid w:val="00336299"/>
    <w:rsid w:val="00355B4C"/>
    <w:rsid w:val="00377C80"/>
    <w:rsid w:val="0042159C"/>
    <w:rsid w:val="0042424F"/>
    <w:rsid w:val="00446351"/>
    <w:rsid w:val="004655E0"/>
    <w:rsid w:val="004B7503"/>
    <w:rsid w:val="004D715E"/>
    <w:rsid w:val="004F626E"/>
    <w:rsid w:val="00505AA0"/>
    <w:rsid w:val="0053570A"/>
    <w:rsid w:val="00570D51"/>
    <w:rsid w:val="005F5CFF"/>
    <w:rsid w:val="00603224"/>
    <w:rsid w:val="006872F1"/>
    <w:rsid w:val="006D5C78"/>
    <w:rsid w:val="006F4805"/>
    <w:rsid w:val="0074486F"/>
    <w:rsid w:val="007D1AFB"/>
    <w:rsid w:val="007E08BA"/>
    <w:rsid w:val="007E0F63"/>
    <w:rsid w:val="007E4120"/>
    <w:rsid w:val="007F2F0F"/>
    <w:rsid w:val="008D4504"/>
    <w:rsid w:val="00905BFF"/>
    <w:rsid w:val="00917C98"/>
    <w:rsid w:val="00937A37"/>
    <w:rsid w:val="009870E6"/>
    <w:rsid w:val="00992DD5"/>
    <w:rsid w:val="009C6027"/>
    <w:rsid w:val="009D0C33"/>
    <w:rsid w:val="009E7122"/>
    <w:rsid w:val="00A103DC"/>
    <w:rsid w:val="00A326BE"/>
    <w:rsid w:val="00A421D2"/>
    <w:rsid w:val="00A433A3"/>
    <w:rsid w:val="00A47B1B"/>
    <w:rsid w:val="00A600B3"/>
    <w:rsid w:val="00A75424"/>
    <w:rsid w:val="00A77C13"/>
    <w:rsid w:val="00AD27AA"/>
    <w:rsid w:val="00B07A53"/>
    <w:rsid w:val="00B34583"/>
    <w:rsid w:val="00B5450D"/>
    <w:rsid w:val="00BA5C51"/>
    <w:rsid w:val="00C90AFA"/>
    <w:rsid w:val="00CC35F6"/>
    <w:rsid w:val="00CC557C"/>
    <w:rsid w:val="00D245C2"/>
    <w:rsid w:val="00DC6A73"/>
    <w:rsid w:val="00DC6FEB"/>
    <w:rsid w:val="00DD150B"/>
    <w:rsid w:val="00DD5E8B"/>
    <w:rsid w:val="00E40530"/>
    <w:rsid w:val="00EC2F56"/>
    <w:rsid w:val="00F03B42"/>
    <w:rsid w:val="00F13891"/>
    <w:rsid w:val="00F4250D"/>
    <w:rsid w:val="00F7259F"/>
    <w:rsid w:val="00F8616F"/>
    <w:rsid w:val="00FC5839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9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37A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07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8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C9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7A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37A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07A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3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3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barbara.cedro</dc:creator>
  <cp:lastModifiedBy>Mariusz Trepka</cp:lastModifiedBy>
  <cp:revision>9</cp:revision>
  <cp:lastPrinted>2022-01-24T12:03:00Z</cp:lastPrinted>
  <dcterms:created xsi:type="dcterms:W3CDTF">2022-01-20T06:07:00Z</dcterms:created>
  <dcterms:modified xsi:type="dcterms:W3CDTF">2022-01-31T11:47:00Z</dcterms:modified>
</cp:coreProperties>
</file>